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江苏海事职业技术学院信息工程学院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/>
          <w:sz w:val="44"/>
          <w:szCs w:val="44"/>
        </w:rPr>
        <w:t>大</w:t>
      </w:r>
      <w:r>
        <w:rPr>
          <w:rFonts w:ascii="方正小标宋简体" w:hAnsi="方正小标宋简体" w:eastAsia="方正小标宋简体"/>
          <w:sz w:val="44"/>
          <w:szCs w:val="44"/>
        </w:rPr>
        <w:t>类</w:t>
      </w:r>
      <w:r>
        <w:rPr>
          <w:rFonts w:hint="eastAsia" w:ascii="方正小标宋简体" w:hAnsi="方正小标宋简体" w:eastAsia="方正小标宋简体"/>
          <w:sz w:val="44"/>
          <w:szCs w:val="44"/>
        </w:rPr>
        <w:t>（类）培养与</w:t>
      </w:r>
      <w:r>
        <w:rPr>
          <w:rFonts w:ascii="方正小标宋简体" w:hAnsi="方正小标宋简体" w:eastAsia="方正小标宋简体"/>
          <w:sz w:val="44"/>
          <w:szCs w:val="44"/>
        </w:rPr>
        <w:t>分流管理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办法（试行）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江苏海事职业技术学院《“双高计划”建设方案》和江苏省高等职业院校高水平专业群《“大数据技术与应用专业群”建设方案》的建设要求，为深入推进“产学融合、平台共享、模块分流、工匠工坊”的人才培养模式改革，优化构建“底层共享、中层模块、高层方向、书证融通”的课程体系，全面推行基于专业群的大类培养、分层分方向教学。建立信息工程学院专业大类（类）培养与分流管理制度，满足学生个性发展需求，实现自选学业路径、自选职业发展，打通复合型人才成长通道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，结合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实际，特制定本办法。</w:t>
      </w:r>
    </w:p>
    <w:p>
      <w:pPr>
        <w:pStyle w:val="2"/>
        <w:keepNext w:val="0"/>
        <w:keepLines w:val="0"/>
        <w:spacing w:after="0" w:line="415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第一章</w:t>
      </w:r>
      <w:r>
        <w:rPr>
          <w:rFonts w:ascii="楷体_GB2312" w:eastAsia="楷体_GB2312"/>
        </w:rPr>
        <w:t xml:space="preserve">  </w:t>
      </w:r>
      <w:r>
        <w:rPr>
          <w:rFonts w:hint="eastAsia" w:ascii="楷体_GB2312" w:eastAsia="楷体_GB2312"/>
        </w:rPr>
        <w:t>总</w:t>
      </w:r>
      <w:r>
        <w:rPr>
          <w:rFonts w:ascii="楷体_GB2312" w:eastAsia="楷体_GB2312"/>
        </w:rPr>
        <w:t xml:space="preserve">  </w:t>
      </w:r>
      <w:r>
        <w:rPr>
          <w:rFonts w:hint="eastAsia" w:ascii="楷体_GB2312" w:eastAsia="楷体_GB2312"/>
        </w:rPr>
        <w:t>则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第一条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积极推进“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专业群的大类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（以下简称“专业类”）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培养、分层分方向教学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”人才培养模式改革，切实做好我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专业类培养与分流工作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第二条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专业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分流是指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基于专业群的大类培养的学生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（以下简称“学生”）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，经过一定时间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培养后，从专业类分流至所属具体专业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或专业方向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（以下简称“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专业（方向）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”）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 xml:space="preserve">第三条 </w:t>
      </w:r>
      <w:r>
        <w:rPr>
          <w:rFonts w:ascii="仿宋_GB2312" w:hAnsi="Calibri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专业类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培养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的学生进校后，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“1＋</w:t>
      </w:r>
      <w:r>
        <w:rPr>
          <w:rFonts w:ascii="仿宋_GB2312" w:hAnsi="Calibri" w:eastAsia="仿宋_GB2312" w:cs="Calibri"/>
          <w:kern w:val="0"/>
          <w:sz w:val="32"/>
          <w:szCs w:val="32"/>
        </w:rPr>
        <w:t>2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”模式，学生应在修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读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完第一学年课程后，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专业类所属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专业（方向）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进行分流，第三学期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开始进行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专业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能力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培养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即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第一学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按专业类修读通识教育课程、专业基础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课程，进行专业类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职业通用能力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培养；第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三学期原则上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分流到专业类所属专业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或专业方向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修读专业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核心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课程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个性拓展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，进行专业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专项能力、复合应用能力、职业适任能力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培养。</w:t>
      </w:r>
    </w:p>
    <w:p>
      <w:pPr>
        <w:pStyle w:val="2"/>
        <w:keepNext w:val="0"/>
        <w:keepLines w:val="0"/>
        <w:spacing w:after="0" w:line="415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第二章 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组织领导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Calibri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成立专业类学生培养与分流管理工作组，负责领导组织专业类学生培养与分流工作。工作组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组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长由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担任，成员由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专业中心主任、课程群负责人、学生事务办公室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负责人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和教学秘书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组成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办公室设在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学术事务办公室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由教学秘书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负责处理专业类学生培养与分流工作日常事务。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Calibri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相关人员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各负其责，其中：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院长负责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牵头专业类学生培养与分流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工作。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）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专业中心主任组织课程群负责人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负责专业类人才培养方案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制定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、课程设置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分流工作的方案制定和实施、专业引导、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教学安排的指导与协调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）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学生事务办公室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负责组织辅导员（班主任）做好专业类学生分流的政策宣讲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思想教育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及班级管理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等相关工作。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）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教学秘书负责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专业分流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材料收集整理，以及分流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后的学籍异动、班级调整和成绩管理等相关工作。</w:t>
      </w:r>
    </w:p>
    <w:p>
      <w:pPr>
        <w:pStyle w:val="2"/>
        <w:keepNext w:val="0"/>
        <w:keepLines w:val="0"/>
        <w:spacing w:after="0" w:line="415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第三章</w:t>
      </w:r>
      <w:r>
        <w:rPr>
          <w:rFonts w:ascii="楷体_GB2312" w:eastAsia="楷体_GB2312"/>
        </w:rPr>
        <w:t xml:space="preserve">  </w:t>
      </w:r>
      <w:r>
        <w:rPr>
          <w:rFonts w:hint="eastAsia" w:ascii="楷体_GB2312" w:eastAsia="楷体_GB2312"/>
        </w:rPr>
        <w:t>分流原则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坚持公平、公正、公开。加强专业分流工作的领导与监督，公示分流依据、选拔规则、分流程序、学生志愿、综合表现排名、分流结果，增强透明度，体现机会均等。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坚持学生个性发展与学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专业发展相结合。尊重学生个性发展，在学生自愿申请的基础上，依据学生的综合表现进行分流。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  适度引导，合理调配。专业分流在尊重学生志愿的同时，应综合考虑专业发展、教学资源有效利用、教学活动组织实施、社会需求等因素，对学生进行引导与调配，保持专业可持续发展。</w:t>
      </w:r>
    </w:p>
    <w:p>
      <w:pPr>
        <w:pStyle w:val="2"/>
        <w:keepNext w:val="0"/>
        <w:keepLines w:val="0"/>
        <w:spacing w:after="0" w:line="415" w:lineRule="auto"/>
        <w:jc w:val="center"/>
        <w:rPr>
          <w:rFonts w:hint="eastAsia" w:ascii="楷体_GB2312" w:eastAsia="楷体_GB2312"/>
          <w:lang w:eastAsia="zh-CN"/>
        </w:rPr>
      </w:pPr>
      <w:r>
        <w:rPr>
          <w:rFonts w:hint="eastAsia" w:ascii="楷体_GB2312" w:eastAsia="楷体_GB2312"/>
        </w:rPr>
        <w:t>第四章</w:t>
      </w:r>
      <w:r>
        <w:rPr>
          <w:rFonts w:ascii="楷体_GB2312" w:eastAsia="楷体_GB2312"/>
        </w:rPr>
        <w:t xml:space="preserve">  </w:t>
      </w:r>
      <w:r>
        <w:rPr>
          <w:rFonts w:hint="eastAsia" w:ascii="楷体_GB2312" w:eastAsia="楷体_GB2312"/>
        </w:rPr>
        <w:t>分流</w:t>
      </w:r>
      <w:r>
        <w:rPr>
          <w:rFonts w:hint="eastAsia" w:ascii="楷体_GB2312" w:eastAsia="楷体_GB2312"/>
          <w:lang w:val="en-US" w:eastAsia="zh-CN"/>
        </w:rPr>
        <w:t>准备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人才培养方案制定。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专业中心主任组织课程群负责人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负责专业类人才培养方案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制定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课程设置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人才培养方案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需按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“底层共享、中层模块、高层方向、书证融通”的课程体系要求进行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制定。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根据《江苏海事职业技术学院人才培养方案制（修）定与实施管理办法》，原则上人才培养方案三年不做大范围调整，中专起点的学生不再单独制定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行政班组建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。每年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新生入校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学院根据招生情况，确定专业类培养的学生范围，并与学校协商进行统一行政班组建。编班规则为：软件类/电子类+年级+学制+序号（例：软件类21301班），不再区分招生类型。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行政班管理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在校期间学生管理、班级管理按行政班进行管理，如学生统一参与大型活动、日常行为规范管理、请销假审批等工作。综合素质量化考核以及评优等按教学班进行管理。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</w:rPr>
        <w:t>第</w:t>
      </w:r>
      <w:r>
        <w:rPr>
          <w:rFonts w:hint="eastAsia" w:ascii="楷体_GB2312" w:eastAsia="楷体_GB2312"/>
          <w:lang w:val="en-US" w:eastAsia="zh-CN"/>
        </w:rPr>
        <w:t>五</w:t>
      </w:r>
      <w:r>
        <w:rPr>
          <w:rFonts w:hint="eastAsia" w:ascii="楷体_GB2312" w:eastAsia="楷体_GB2312"/>
        </w:rPr>
        <w:t>章</w:t>
      </w:r>
      <w:r>
        <w:rPr>
          <w:rFonts w:ascii="楷体_GB2312" w:eastAsia="楷体_GB2312"/>
        </w:rPr>
        <w:t xml:space="preserve">  </w:t>
      </w:r>
      <w:r>
        <w:rPr>
          <w:rFonts w:hint="eastAsia" w:ascii="楷体_GB2312" w:eastAsia="楷体_GB2312"/>
        </w:rPr>
        <w:t>分流程序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制定分流方案。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第一学年末启动专业分流工作。即第二学期第11周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前，在初步了解学生专业分流意向的基础上，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课程群负责人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制定《专业类学生分流实施方案》，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报教学秘书。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方案应包括下列内容：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（一）组织领导。明确专业类分流管理工作小组组长及成员构成。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分流专业。分流专业应为学生入学当年经教育厅备案的专业，不能调整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其他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未备案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分流计划。根据专业类所属专业的办学条件、社会需求及专业发展情况，确定待分流专业的计划总人数、开设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班级数、班级人数。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（四）分流依据。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组织进行专业能力测试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面试，综合考虑学生志愿、专业类培养期间学习成绩、在校期间奖惩情况等作为分流依据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进一步明确分流选拔规则。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（五）分流程序。明确专业分流各环节的时间节点、具体要求等，做到分流过程公开透明。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方案审批公示。专业类学生分流实施方案经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学院党政联席会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初审、学校批准后，在学院网站进行公示。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第12周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学生填报志愿。学生根据自身兴趣爱好与职业规划，结合自己的学业情况，填报</w:t>
      </w:r>
      <w:r>
        <w:rPr>
          <w:rFonts w:ascii="仿宋_GB2312" w:hAnsi="仿宋" w:eastAsia="仿宋_GB2312" w:cs="Calibri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个专业分流志愿并排序。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辅导员、班主任和专业教师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在专业类培养阶段加强对学生的专业教育，让学生充分了解行业和专业的发展状况、社会需求及专业类所属专业近年就业情况；在专业分流期间，设立专业导师指导学生填报专业分流志愿。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第13周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学院组织分流。学院专业类分流管理工作小组严格按照公示的学生分流实施方案，组织专业分流工作，进行专业能力测试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面试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于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13周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前，初步确定专业分流学生名单。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分流结果公示。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14周前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学院在学院网站上公示专业分流学生名单（公示时间不少于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个工作日），公示结束且结果无异议后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经学院党政联席会审议通过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报教务处。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学籍异动处理。教务处审核各专业类分流学生名单后，在学校教务管理信息系统、学信网分别办理学籍异动。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教学班组建。学院根据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分流结果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组建教学班，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专业中心主任于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15周前完成教学任务落实和教材选用工作。教学秘书于19周前通过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教务管理信息系统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完成教学班组建工作，并于第三学期开始前向学生下发教学班课表。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教学班管理。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专业中心主任选定教学班课代表，负责日常教学活动的通知、课堂考勤等工作。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5" w:lineRule="auto"/>
        <w:ind w:firstLine="643" w:firstLineChars="200"/>
        <w:jc w:val="center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第</w:t>
      </w:r>
      <w:r>
        <w:rPr>
          <w:rFonts w:hint="eastAsia" w:ascii="楷体_GB2312" w:eastAsia="楷体_GB2312"/>
          <w:lang w:val="en-US" w:eastAsia="zh-CN"/>
        </w:rPr>
        <w:t>六</w:t>
      </w:r>
      <w:r>
        <w:rPr>
          <w:rFonts w:hint="eastAsia" w:ascii="楷体_GB2312" w:eastAsia="楷体_GB2312"/>
        </w:rPr>
        <w:t xml:space="preserve">章 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附则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休学、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参军等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保留学籍的学生不参加当年专业分流。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分流后，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学生复学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涉及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本专业不再开设的，转到专业类其他专业就读，教学秘书办好免修和补修手续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按专业类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培养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的学生，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第一学期末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可按照学校转专业相关规定，申请转入其他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学院的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专业类分流视同转专业，学生分流到具体专业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方向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后，原则上不得再申请专业类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转专业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或转方向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特殊原因且符合《江苏海事职业技术学院学生学籍管理办法》要求的，经学院党政联席会审议通过后可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申请转入下一级就读。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第二十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条 </w:t>
      </w:r>
      <w:r>
        <w:rPr>
          <w:rFonts w:ascii="仿宋_GB2312" w:hAnsi="仿宋" w:eastAsia="仿宋_GB2312" w:cs="Calibri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专业类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培养仅第一学期末接受同年级其他专业学生或留级学生转入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其他时间，原则上不接受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专业类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转入，特殊原因且符合《江苏海事职业技术学院学生学籍管理办法》要求的，需经学校相关部门审批，学院党政联席会审议通过后可转入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专业类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进行学习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第二十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自公布之日起施行，由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信息工程学院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附：专业大类（类）培养与分流管理流程图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2021年5月14日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专业大类（类）培养与分流管理实施流程图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5273040" cy="7581900"/>
            <wp:effectExtent l="0" t="0" r="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5658A"/>
    <w:rsid w:val="00334E94"/>
    <w:rsid w:val="00472302"/>
    <w:rsid w:val="089D66FA"/>
    <w:rsid w:val="0965658A"/>
    <w:rsid w:val="0D3319FA"/>
    <w:rsid w:val="0DD619DB"/>
    <w:rsid w:val="0E851E82"/>
    <w:rsid w:val="11BC5DCF"/>
    <w:rsid w:val="137A63D3"/>
    <w:rsid w:val="1B4F6743"/>
    <w:rsid w:val="1E780EDA"/>
    <w:rsid w:val="209E4CDF"/>
    <w:rsid w:val="2593082D"/>
    <w:rsid w:val="2FEB7CDB"/>
    <w:rsid w:val="34F55FED"/>
    <w:rsid w:val="3BB54A80"/>
    <w:rsid w:val="3F1B1DB8"/>
    <w:rsid w:val="41B67092"/>
    <w:rsid w:val="43222DB7"/>
    <w:rsid w:val="470472F4"/>
    <w:rsid w:val="695D566C"/>
    <w:rsid w:val="6D534846"/>
    <w:rsid w:val="6FC84040"/>
    <w:rsid w:val="72C23154"/>
    <w:rsid w:val="736C6630"/>
    <w:rsid w:val="7724577E"/>
    <w:rsid w:val="78A365E1"/>
    <w:rsid w:val="7B0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2021-04-29T07:04:00Z</dcterms:created>
  <dc:creator>桃之夭夭</dc:creator>
  <cp:lastModifiedBy>张俪</cp:lastModifiedBy>
  <dcterms:modified xsi:type="dcterms:W3CDTF">2021-05-14T07:47:40Z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2CC6B19F280B474999C991BC1596088D</vt:lpwstr>
  </property>
</Properties>
</file>