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附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2020级软件专业类学生分流综合素质量化规则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1.综合素质量化组成：专业类培养期间学习成绩、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能力测试成绩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在校期间奖惩情况进行加权平均。</w:t>
      </w:r>
    </w:p>
    <w:p>
      <w:p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计算公式：综合分=专业类培养期间学习成绩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平均学分绩点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*20*60%+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能力测试成绩*30%+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在校期间奖惩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综合得分。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2. 专业类培养期间学习成绩为2020-2021学年第一学期必修课和限定选修课平均学分绩点。</w:t>
      </w:r>
    </w:p>
    <w:tbl>
      <w:tblPr>
        <w:tblStyle w:val="2"/>
        <w:tblW w:w="94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260"/>
        <w:gridCol w:w="1260"/>
        <w:gridCol w:w="1260"/>
        <w:gridCol w:w="144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百分制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100~90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89~80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79~70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69~60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59</w:t>
            </w:r>
            <w:r>
              <w:rPr>
                <w:rFonts w:hint="eastAsia" w:ascii="宋体" w:hAnsi="宋体" w:cs="宋体"/>
                <w:kern w:val="0"/>
                <w:szCs w:val="21"/>
              </w:rPr>
              <w:t>分以下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补考及格或重修后考核及格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绩点数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4.0+</w:t>
            </w:r>
            <w:r>
              <w:rPr>
                <w:rFonts w:hint="eastAsia" w:ascii="宋体" w:hAnsi="宋体" w:cs="宋体"/>
                <w:kern w:val="0"/>
                <w:position w:val="-12"/>
                <w:szCs w:val="21"/>
              </w:rPr>
              <w:object>
                <v:shape id="_x0000_i1025" o:spt="75" type="#_x0000_t75" style="height:18.5pt;width:4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3.0+</w:t>
            </w:r>
            <w:r>
              <w:rPr>
                <w:rFonts w:hint="eastAsia" w:ascii="宋体" w:hAnsi="宋体" w:cs="宋体"/>
                <w:kern w:val="0"/>
                <w:position w:val="-12"/>
                <w:szCs w:val="21"/>
              </w:rPr>
              <w:object>
                <v:shape id="_x0000_i1026" o:spt="75" type="#_x0000_t75" style="height:18.5pt;width:4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2.0+</w:t>
            </w:r>
            <w:r>
              <w:rPr>
                <w:rFonts w:hint="eastAsia" w:ascii="宋体" w:hAnsi="宋体" w:cs="宋体"/>
                <w:kern w:val="0"/>
                <w:position w:val="-12"/>
                <w:szCs w:val="21"/>
              </w:rPr>
              <w:object>
                <v:shape id="_x0000_i1027" o:spt="75" type="#_x0000_t75" style="height:18.5pt;width:4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1.0+</w:t>
            </w:r>
            <w:r>
              <w:rPr>
                <w:rFonts w:hint="eastAsia" w:ascii="宋体" w:hAnsi="宋体" w:cs="宋体"/>
                <w:kern w:val="0"/>
                <w:position w:val="-12"/>
                <w:szCs w:val="21"/>
              </w:rPr>
              <w:object>
                <v:shape id="_x0000_i1028" o:spt="75" type="#_x0000_t75" style="height:18.5pt;width:4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五级记分制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不及格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绩点数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</w:tbl>
    <w:p>
      <w:pPr>
        <w:spacing w:line="360" w:lineRule="auto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学期的平均学分绩点=</w:t>
      </w:r>
      <w:r>
        <w:rPr>
          <w:rFonts w:hint="eastAsia" w:ascii="仿宋_GB2312" w:hAnsi="仿宋_GB2312" w:eastAsia="仿宋_GB2312" w:cs="仿宋_GB2312"/>
          <w:position w:val="-26"/>
          <w:sz w:val="28"/>
          <w:szCs w:val="28"/>
        </w:rPr>
        <w:object>
          <v:shape id="_x0000_i1029" o:spt="75" type="#_x0000_t75" style="height:33pt;width:1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3. 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校期间奖惩包涵以下类型：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（1）奖励：含奖学金、三好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、优秀学生干部、文明标兵、社会工作先进个人、各级各类竞赛（备赛学生降一级认定）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等。奖励等级参照学校相关文件，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国家级奖励1项加5分，省级奖励1项加3分，校级奖励1项加1分，累计最高加10分。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（2）处分：留校察看、记过一次扣5分，严重警告、警告一次扣3分，通报批评一次扣1分，累计最高扣10分。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91FA5"/>
    <w:rsid w:val="5A7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2021-05-14T07:15:00Z</dcterms:created>
  <dc:creator>张俪</dc:creator>
  <cp:lastModifiedBy>张俪</cp:lastModifiedBy>
  <dcterms:modified xsi:type="dcterms:W3CDTF">2021-05-14T07:17:11Z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D3B73DA13990468693F016B863203327</vt:lpwstr>
  </property>
</Properties>
</file>